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广东省门窗行业执业准则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目的与依据：为规范广东省门窗行业的执业行为，提升行业形象，保障消费者权益，促进行业健康有序发展，根据相关法律法规，结合广东省门窗行业的实际情况，特制定本执业准则。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适用范围：本准则适用于在广东省内从事门窗设计、生产、安装、销售等经营活动的会员企业及相关从业人员。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二、执业基本要求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守法经营：企业应严格遵守国家及地方的相关法律法规，合法合规经营，不得从事任何违法违规行为。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诚信经营：企业应诚信经营，不虚假宣传，不误导消费者，保证所售产品的质量和性能符合合同约定及国家标准。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保障消费者权益：企业应建立完善的售后服务体系，对消费者提出的问题及时响应并妥善处理，确保消费者的合法权益得到保障。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三、设计准则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功能性考虑：门窗设计应满足使用功能要求，如采光、通风、隔热、隔音等，同时要考虑到防盗、防火等安全性能。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美观性考虑：设计时应注重美观性，与建筑风格相协调，提升整体视觉效果。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安全性考虑：在设计过程中，应充分考虑到人体的尺寸和使用习惯，避免因设计不当导致的安全隐患。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四、生产准则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材料质量控制：企业应选用符合国家标准的优质原材料，确保产品质量稳定可靠。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工艺规范：生产过程中应严格按照工艺规范操作，确保产品的精度和耐用性。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检测与验收：产品出厂前应进行严格的质量检测，确保各项指标符合国家标准及企业要求。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五、安装与交付准则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安装前准备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（1）精确测量：安装团队应使用专业工具对门窗洞口进行精确测量，确保门窗尺寸与洞口完全匹配，避免安装时出现尺寸不符的问题。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（2）材料检查：安装前应对门窗产品进行细致检查，确保产品无损坏、无缺失，并核对产品型号、规格与订单一致。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（3）现场准备：清理安装现场，确保安装区域整洁、无障碍物，为安装工作提供良好的作业环境。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规范安装过程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（1）按照图纸施工：安装团队应严格按照施工图纸进行安装，确保安装位置、方向、高度等准确无误。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（2）使用专用工具：安装过程中应使用专用工具和设备，确保安装质量和工作效率。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（3）注意安全防护：安装人员应佩戴安全帽、手套等防护用品，确保在安装过程中的人身安全。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验收与调试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（1）功能测试：安装完成后，应对门窗进行开关、锁闭等功能测试，确保使用正常、无故障。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（2）外观检查：检查门窗的表面是否平整、无划痕、无污渍，确保整体美观度。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（3）客户确认：邀请客户进行现场验收，确保客户对安装质量满意并签字确认。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交付与后续服务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（1）详细交付清单：向客户提供详细的交付清单，包括安装的产品型号、数量、安装位置等信息，以便客户核对。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（2）使用说明：向客户提供门窗的使用说明和保养建议，确保客户能够正确使用和保养门窗产品。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（3）售后保障：为客户提供一定的质保期限，并提供售后维修服务，确保客户在使用过程中遇到的问题能够及时得到解决。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六、培训与考核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从业人员培训：企业应定期对从业人员进行专业技能和职业道德培训，提升从业人员的业务水平和综合素质。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考核与激励：企业应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建立完善的考核与激励机制，对表现优秀的从业人员给予表彰和奖励，激发员工的工作积极性。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288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本准则自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广东省门窗协会第二届第六次</w:t>
      </w:r>
      <w:r>
        <w:rPr>
          <w:rFonts w:hint="eastAsia" w:ascii="仿宋" w:hAnsi="仿宋" w:eastAsia="仿宋" w:cs="仿宋"/>
          <w:sz w:val="30"/>
          <w:szCs w:val="30"/>
        </w:rPr>
        <w:t>理事会审议通过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后正式</w:t>
      </w:r>
      <w:r>
        <w:rPr>
          <w:rFonts w:hint="eastAsia" w:ascii="仿宋" w:hAnsi="仿宋" w:eastAsia="仿宋" w:cs="仿宋"/>
          <w:sz w:val="30"/>
          <w:szCs w:val="30"/>
        </w:rPr>
        <w:t>生效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审议，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随着行业发展和市场变化，本准则将适时进行修订和补充，最终解释权归广东省门窗协会所有。</w:t>
      </w:r>
    </w:p>
    <w:sectPr>
      <w:footerReference r:id="rId5" w:type="default"/>
      <w:pgSz w:w="11906" w:h="16838"/>
      <w:pgMar w:top="1701" w:right="1417" w:bottom="1417" w:left="1474" w:header="851" w:footer="850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DE29DA-2496-4CEF-85CE-B526D4C7E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ED6B80-DD94-4794-8F0D-4C88A7D74195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4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第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页 共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4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E96AB"/>
    <w:multiLevelType w:val="singleLevel"/>
    <w:tmpl w:val="928E96A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E4684CD"/>
    <w:multiLevelType w:val="singleLevel"/>
    <w:tmpl w:val="BE4684C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361C737"/>
    <w:multiLevelType w:val="singleLevel"/>
    <w:tmpl w:val="C361C73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A1EB7DA"/>
    <w:multiLevelType w:val="singleLevel"/>
    <w:tmpl w:val="DA1EB7D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5D54A9F"/>
    <w:multiLevelType w:val="singleLevel"/>
    <w:tmpl w:val="05D54A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B864918"/>
    <w:multiLevelType w:val="singleLevel"/>
    <w:tmpl w:val="6B8649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00000000"/>
    <w:rsid w:val="10CE1AFC"/>
    <w:rsid w:val="256C5C14"/>
    <w:rsid w:val="396116A8"/>
    <w:rsid w:val="530F07D3"/>
    <w:rsid w:val="700411FB"/>
    <w:rsid w:val="771124A3"/>
    <w:rsid w:val="7B091EF2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885</Characters>
  <Lines>0</Lines>
  <Paragraphs>0</Paragraphs>
  <TotalTime>3</TotalTime>
  <ScaleCrop>false</ScaleCrop>
  <LinksUpToDate>false</LinksUpToDate>
  <CharactersWithSpaces>896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安静の鱼 巛~</cp:lastModifiedBy>
  <dcterms:modified xsi:type="dcterms:W3CDTF">2024-04-19T08:22:37Z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0666793E55E24950BC138FE3414A2FEC</vt:lpwstr>
  </property>
</Properties>
</file>