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广东省门窗协会奖励惩戒机制</w:t>
      </w:r>
    </w:p>
    <w:p>
      <w:pPr>
        <w:numPr>
          <w:numId w:val="0"/>
        </w:numPr>
        <w:ind w:firstLine="643" w:firstLineChars="200"/>
        <w:rPr>
          <w:rFonts w:hint="eastAsia"/>
          <w:b/>
          <w:bCs/>
          <w:sz w:val="32"/>
          <w:szCs w:val="32"/>
        </w:rPr>
      </w:pPr>
    </w:p>
    <w:p>
      <w:pPr>
        <w:numPr>
          <w:numId w:val="0"/>
        </w:numPr>
        <w:ind w:firstLine="643" w:firstLineChars="200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一、目的</w:t>
      </w:r>
    </w:p>
    <w:p>
      <w:pPr>
        <w:numPr>
          <w:numId w:val="0"/>
        </w:num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为进一步规范广东省门窗协会全体会员行为，促进行业自律，激励会员创新与发展，提升行</w:t>
      </w:r>
      <w:bookmarkStart w:id="0" w:name="_GoBack"/>
      <w:bookmarkEnd w:id="0"/>
      <w:r>
        <w:rPr>
          <w:rFonts w:hint="eastAsia"/>
          <w:sz w:val="32"/>
          <w:szCs w:val="32"/>
        </w:rPr>
        <w:t>业整体竞争力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特建立本奖惩机制</w:t>
      </w:r>
      <w:r>
        <w:rPr>
          <w:rFonts w:hint="eastAsia"/>
          <w:sz w:val="32"/>
          <w:szCs w:val="32"/>
          <w:lang w:eastAsia="zh-CN"/>
        </w:rPr>
        <w:t>：一方面</w:t>
      </w:r>
      <w:r>
        <w:rPr>
          <w:rFonts w:hint="eastAsia"/>
          <w:sz w:val="32"/>
          <w:szCs w:val="32"/>
        </w:rPr>
        <w:t>通过奖励优秀会员，树立行业标杆，激发会员积极性和创造力；</w:t>
      </w:r>
      <w:r>
        <w:rPr>
          <w:rFonts w:hint="eastAsia"/>
          <w:sz w:val="32"/>
          <w:szCs w:val="32"/>
          <w:lang w:eastAsia="zh-CN"/>
        </w:rPr>
        <w:t>另一方面</w:t>
      </w:r>
      <w:r>
        <w:rPr>
          <w:rFonts w:hint="eastAsia"/>
          <w:sz w:val="32"/>
          <w:szCs w:val="32"/>
        </w:rPr>
        <w:t>对违规行为进行惩戒，维护行业秩序和公平竞争环境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numPr>
          <w:numId w:val="0"/>
        </w:numPr>
        <w:ind w:firstLine="643" w:firstLineChars="200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二、奖励机制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年度优秀会员奖：表彰在遵守行业规范、技术创新、服务质量、行业贡献等方面表现突出的会员单位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每年评选并颁发荣誉证书。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宣传推广：对于获得年度优秀会员奖的会员，</w:t>
      </w:r>
      <w:r>
        <w:rPr>
          <w:rFonts w:hint="eastAsia"/>
          <w:sz w:val="32"/>
          <w:szCs w:val="32"/>
          <w:lang w:eastAsia="zh-CN"/>
        </w:rPr>
        <w:t>本</w:t>
      </w:r>
      <w:r>
        <w:rPr>
          <w:rFonts w:hint="eastAsia"/>
          <w:sz w:val="32"/>
          <w:szCs w:val="32"/>
        </w:rPr>
        <w:t>协会将在官方网站、社交媒体平台以及行业媒体上进行多渠道的宣传推广，宣传内容将涵盖企业的创新成果、优质服务、社会责任等方面的亮点，以扩大企业在行业内外的影响力，提升品牌知名度。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创新成果展示：</w:t>
      </w:r>
      <w:r>
        <w:rPr>
          <w:rFonts w:hint="eastAsia"/>
          <w:sz w:val="32"/>
          <w:szCs w:val="32"/>
        </w:rPr>
        <w:t>本协会将结合理事会/会员大会或单独组织创新成果展示活动，</w:t>
      </w:r>
      <w:r>
        <w:rPr>
          <w:rFonts w:hint="eastAsia"/>
          <w:sz w:val="32"/>
          <w:szCs w:val="32"/>
          <w:lang w:eastAsia="zh-CN"/>
        </w:rPr>
        <w:t>优先为</w:t>
      </w:r>
      <w:r>
        <w:rPr>
          <w:rFonts w:hint="eastAsia"/>
          <w:sz w:val="32"/>
          <w:szCs w:val="32"/>
        </w:rPr>
        <w:t>在技术创新方面取得显著成果的</w:t>
      </w:r>
      <w:r>
        <w:rPr>
          <w:rFonts w:hint="eastAsia"/>
          <w:sz w:val="32"/>
          <w:szCs w:val="32"/>
          <w:lang w:eastAsia="zh-CN"/>
        </w:rPr>
        <w:t>优秀</w:t>
      </w:r>
      <w:r>
        <w:rPr>
          <w:rFonts w:hint="eastAsia"/>
          <w:sz w:val="32"/>
          <w:szCs w:val="32"/>
        </w:rPr>
        <w:t>会员提供展示平台，促进行业内交流与合作，推动创新发展。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特别贡献奖：对在特殊时期或重大事件中做出突出贡献的会员给予特别表彰。</w:t>
      </w:r>
    </w:p>
    <w:p>
      <w:pPr>
        <w:numPr>
          <w:numId w:val="0"/>
        </w:numPr>
        <w:ind w:firstLine="643" w:firstLineChars="200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三、惩戒机制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警告与整改：对轻微违规会员给予口头或书面警告，并责令其限期整改。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行业曝光：对于违反行业规定且情节严重的会员，协会将视情况在行业内部进行曝光，公开其违规行为，以警示其他会员。</w:t>
      </w:r>
    </w:p>
    <w:p>
      <w:pPr>
        <w:numPr>
          <w:ilvl w:val="0"/>
          <w:numId w:val="2"/>
        </w:numPr>
        <w:bidi w:val="0"/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会员资格暂停或撤销：对于严重违规、屡教不改或造成重大不良影响的会员，将视情况暂停其会员资格或撤销其会员身份，并保留向相关行政部门反映其违规行为的权利。</w:t>
      </w:r>
    </w:p>
    <w:p>
      <w:pPr>
        <w:numPr>
          <w:numId w:val="0"/>
        </w:numPr>
        <w:ind w:firstLine="643" w:firstLineChars="200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四、实施与监督</w:t>
      </w:r>
    </w:p>
    <w:p>
      <w:pPr>
        <w:numPr>
          <w:ilvl w:val="0"/>
          <w:numId w:val="3"/>
        </w:numPr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提名与评估：由秘书处</w:t>
      </w:r>
      <w:r>
        <w:rPr>
          <w:rFonts w:hint="eastAsia"/>
          <w:sz w:val="32"/>
          <w:szCs w:val="32"/>
          <w:lang w:eastAsia="zh-CN"/>
        </w:rPr>
        <w:t>或协会负责人</w:t>
      </w:r>
      <w:r>
        <w:rPr>
          <w:rFonts w:hint="eastAsia"/>
          <w:sz w:val="32"/>
          <w:szCs w:val="32"/>
        </w:rPr>
        <w:t>提名，常务理事会综合评估，确保评估的公正性和权威性。</w:t>
      </w:r>
    </w:p>
    <w:p>
      <w:pPr>
        <w:numPr>
          <w:ilvl w:val="0"/>
          <w:numId w:val="3"/>
        </w:numPr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年会表彰：根据综合评估成绩，在一年一度的会员大会上进行表彰，并做好宣传工作。</w:t>
      </w:r>
    </w:p>
    <w:p>
      <w:pPr>
        <w:numPr>
          <w:ilvl w:val="0"/>
          <w:numId w:val="3"/>
        </w:numPr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公开透明：奖励惩戒决定及时公示</w:t>
      </w:r>
      <w:r>
        <w:rPr>
          <w:rFonts w:hint="eastAsia"/>
          <w:sz w:val="32"/>
          <w:szCs w:val="32"/>
          <w:lang w:eastAsia="zh-CN"/>
        </w:rPr>
        <w:t>公开</w:t>
      </w:r>
      <w:r>
        <w:rPr>
          <w:rFonts w:hint="eastAsia"/>
          <w:sz w:val="32"/>
          <w:szCs w:val="32"/>
        </w:rPr>
        <w:t>，接受</w:t>
      </w:r>
      <w:r>
        <w:rPr>
          <w:rFonts w:hint="eastAsia"/>
          <w:sz w:val="32"/>
          <w:szCs w:val="32"/>
          <w:lang w:eastAsia="zh-CN"/>
        </w:rPr>
        <w:t>监事会及</w:t>
      </w:r>
      <w:r>
        <w:rPr>
          <w:rFonts w:hint="eastAsia"/>
          <w:sz w:val="32"/>
          <w:szCs w:val="32"/>
        </w:rPr>
        <w:t>全体会员监督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确保会员的知情权和参与权。</w:t>
      </w:r>
    </w:p>
    <w:p>
      <w:pPr>
        <w:numPr>
          <w:numId w:val="0"/>
        </w:numPr>
        <w:ind w:firstLine="643" w:firstLineChars="200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五、附则</w:t>
      </w:r>
    </w:p>
    <w:p>
      <w:pPr>
        <w:numPr>
          <w:numId w:val="0"/>
        </w:num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本奖惩机制经</w:t>
      </w:r>
      <w:r>
        <w:rPr>
          <w:rFonts w:hint="eastAsia"/>
          <w:sz w:val="32"/>
          <w:szCs w:val="32"/>
          <w:lang w:eastAsia="zh-CN"/>
        </w:rPr>
        <w:t>广东省门窗协会第</w:t>
      </w:r>
      <w:r>
        <w:rPr>
          <w:rFonts w:hint="eastAsia"/>
          <w:sz w:val="32"/>
          <w:szCs w:val="32"/>
        </w:rPr>
        <w:t>二届</w:t>
      </w:r>
      <w:r>
        <w:rPr>
          <w:rFonts w:hint="eastAsia"/>
          <w:sz w:val="32"/>
          <w:szCs w:val="32"/>
          <w:lang w:eastAsia="zh-CN"/>
        </w:rPr>
        <w:t>第</w:t>
      </w:r>
      <w:r>
        <w:rPr>
          <w:rFonts w:hint="eastAsia"/>
          <w:sz w:val="32"/>
          <w:szCs w:val="32"/>
        </w:rPr>
        <w:t>六次理事会审议通过</w:t>
      </w:r>
      <w:r>
        <w:rPr>
          <w:rFonts w:hint="eastAsia"/>
          <w:sz w:val="32"/>
          <w:szCs w:val="32"/>
          <w:lang w:eastAsia="zh-CN"/>
        </w:rPr>
        <w:t>后正式执行</w:t>
      </w:r>
      <w:r>
        <w:rPr>
          <w:rFonts w:hint="eastAsia"/>
          <w:sz w:val="32"/>
          <w:szCs w:val="32"/>
        </w:rPr>
        <w:t>，由理事会负责解释和修订。</w:t>
      </w:r>
    </w:p>
    <w:sectPr>
      <w:footerReference r:id="rId5" w:type="default"/>
      <w:pgSz w:w="11906" w:h="16838"/>
      <w:pgMar w:top="1701" w:right="1417" w:bottom="1417" w:left="1417" w:header="851" w:footer="992" w:gutter="0"/>
      <w:pgNumType w:fmt="decimal"/>
      <w:cols w:space="0" w:num="1"/>
      <w:rtlGutter w:val="0"/>
      <w:docGrid w:type="lines" w:linePitch="44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ingFang-SC-Regula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汉仪正圆-35W">
    <w:panose1 w:val="00020600040101010101"/>
    <w:charset w:val="86"/>
    <w:family w:val="auto"/>
    <w:pitch w:val="default"/>
    <w:sig w:usb0="A00002BF" w:usb1="0ACF7CFA" w:usb2="00000016" w:usb3="00000000" w:csb0="0004009F" w:csb1="00000000"/>
  </w:font>
  <w:font w:name="日系可爱奶酪体-商">
    <w:panose1 w:val="02000503000000000000"/>
    <w:charset w:val="86"/>
    <w:family w:val="auto"/>
    <w:pitch w:val="default"/>
    <w:sig w:usb0="8000002F" w:usb1="084164FA" w:usb2="00000012" w:usb3="00000000" w:csb0="00040001" w:csb1="00000000"/>
  </w:font>
  <w:font w:name="方正大黑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F5DC100B-A071-48E8-B3F0-E5DA35F8963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48"/>
                            </w:rPr>
                          </w:pPr>
                          <w:r>
                            <w:rPr>
                              <w:sz w:val="28"/>
                              <w:szCs w:val="48"/>
                            </w:rPr>
                            <w:t xml:space="preserve">第 </w:t>
                          </w:r>
                          <w:r>
                            <w:rPr>
                              <w:sz w:val="28"/>
                              <w:szCs w:val="4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4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4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48"/>
                            </w:rPr>
                            <w:t>1</w:t>
                          </w:r>
                          <w:r>
                            <w:rPr>
                              <w:sz w:val="28"/>
                              <w:szCs w:val="4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48"/>
                            </w:rPr>
                            <w:t xml:space="preserve"> 页 共 </w:t>
                          </w:r>
                          <w:r>
                            <w:rPr>
                              <w:sz w:val="28"/>
                              <w:szCs w:val="4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48"/>
                            </w:rPr>
                            <w:instrText xml:space="preserve"> NUMPAGES  \* MERGEFORMAT </w:instrText>
                          </w:r>
                          <w:r>
                            <w:rPr>
                              <w:sz w:val="28"/>
                              <w:szCs w:val="4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48"/>
                            </w:rPr>
                            <w:t>2</w:t>
                          </w:r>
                          <w:r>
                            <w:rPr>
                              <w:sz w:val="28"/>
                              <w:szCs w:val="4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4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48"/>
                      </w:rPr>
                    </w:pPr>
                    <w:r>
                      <w:rPr>
                        <w:sz w:val="28"/>
                        <w:szCs w:val="48"/>
                      </w:rPr>
                      <w:t xml:space="preserve">第 </w:t>
                    </w:r>
                    <w:r>
                      <w:rPr>
                        <w:sz w:val="28"/>
                        <w:szCs w:val="48"/>
                      </w:rPr>
                      <w:fldChar w:fldCharType="begin"/>
                    </w:r>
                    <w:r>
                      <w:rPr>
                        <w:sz w:val="28"/>
                        <w:szCs w:val="4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48"/>
                      </w:rPr>
                      <w:fldChar w:fldCharType="separate"/>
                    </w:r>
                    <w:r>
                      <w:rPr>
                        <w:sz w:val="28"/>
                        <w:szCs w:val="48"/>
                      </w:rPr>
                      <w:t>1</w:t>
                    </w:r>
                    <w:r>
                      <w:rPr>
                        <w:sz w:val="28"/>
                        <w:szCs w:val="48"/>
                      </w:rPr>
                      <w:fldChar w:fldCharType="end"/>
                    </w:r>
                    <w:r>
                      <w:rPr>
                        <w:sz w:val="28"/>
                        <w:szCs w:val="48"/>
                      </w:rPr>
                      <w:t xml:space="preserve"> 页 共 </w:t>
                    </w:r>
                    <w:r>
                      <w:rPr>
                        <w:sz w:val="28"/>
                        <w:szCs w:val="48"/>
                      </w:rPr>
                      <w:fldChar w:fldCharType="begin"/>
                    </w:r>
                    <w:r>
                      <w:rPr>
                        <w:sz w:val="28"/>
                        <w:szCs w:val="48"/>
                      </w:rPr>
                      <w:instrText xml:space="preserve"> NUMPAGES  \* MERGEFORMAT </w:instrText>
                    </w:r>
                    <w:r>
                      <w:rPr>
                        <w:sz w:val="28"/>
                        <w:szCs w:val="48"/>
                      </w:rPr>
                      <w:fldChar w:fldCharType="separate"/>
                    </w:r>
                    <w:r>
                      <w:rPr>
                        <w:sz w:val="28"/>
                        <w:szCs w:val="48"/>
                      </w:rPr>
                      <w:t>2</w:t>
                    </w:r>
                    <w:r>
                      <w:rPr>
                        <w:sz w:val="28"/>
                        <w:szCs w:val="48"/>
                      </w:rPr>
                      <w:fldChar w:fldCharType="end"/>
                    </w:r>
                    <w:r>
                      <w:rPr>
                        <w:sz w:val="28"/>
                        <w:szCs w:val="4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00"/>
      </w:pPr>
      <w:r>
        <w:separator/>
      </w:r>
    </w:p>
  </w:footnote>
  <w:footnote w:type="continuationSeparator" w:id="1">
    <w:p>
      <w:pPr>
        <w:spacing w:line="360" w:lineRule="auto"/>
        <w:ind w:firstLine="60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1E9C06"/>
    <w:multiLevelType w:val="singleLevel"/>
    <w:tmpl w:val="BD1E9C06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C3400445"/>
    <w:multiLevelType w:val="singleLevel"/>
    <w:tmpl w:val="C3400445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E4E34A88"/>
    <w:multiLevelType w:val="singleLevel"/>
    <w:tmpl w:val="E4E34A88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wM2E4MjViOTk4ZGFmOTI3NzlhNGZmYjAzNWRhYWQifQ=="/>
  </w:docVars>
  <w:rsids>
    <w:rsidRoot w:val="3FF32384"/>
    <w:rsid w:val="086530B3"/>
    <w:rsid w:val="0E5D1046"/>
    <w:rsid w:val="256C5C14"/>
    <w:rsid w:val="302F7B0B"/>
    <w:rsid w:val="3FF32384"/>
    <w:rsid w:val="47993F84"/>
    <w:rsid w:val="530F07D3"/>
    <w:rsid w:val="59CA0A1F"/>
    <w:rsid w:val="68830F17"/>
    <w:rsid w:val="771124A3"/>
    <w:rsid w:val="7DDC0345"/>
    <w:rsid w:val="7F87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eepNext w:val="0"/>
      <w:keepLines w:val="0"/>
      <w:widowControl/>
      <w:suppressLineNumbers w:val="0"/>
      <w:spacing w:line="360" w:lineRule="auto"/>
      <w:ind w:firstLine="620" w:firstLineChars="200"/>
      <w:jc w:val="left"/>
    </w:pPr>
    <w:rPr>
      <w:rFonts w:ascii="仿宋_GB2312" w:hAnsi="仿宋_GB2312" w:eastAsia="仿宋_GB2312" w:cs="仿宋_GB2312"/>
      <w:color w:val="000000"/>
      <w:kern w:val="0"/>
      <w:sz w:val="30"/>
      <w:szCs w:val="31"/>
      <w:lang w:val="en-US" w:eastAsia="zh-CN" w:bidi="ar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360" w:lineRule="auto"/>
      <w:ind w:firstLine="964" w:firstLineChars="200"/>
      <w:outlineLvl w:val="1"/>
    </w:pPr>
    <w:rPr>
      <w:rFonts w:ascii="Times New Roman" w:hAnsi="Times New Roman" w:eastAsia="黑体" w:cs="黑体"/>
      <w:b/>
      <w:bCs/>
      <w:sz w:val="32"/>
      <w:szCs w:val="32"/>
    </w:rPr>
  </w:style>
  <w:style w:type="paragraph" w:styleId="3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Times New Roman" w:hAnsi="Times New Roman" w:eastAsia="仿宋" w:cs="仿宋"/>
      <w:b/>
      <w:bCs/>
      <w:sz w:val="32"/>
      <w:szCs w:val="3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rPr>
      <w:sz w:val="24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表格"/>
    <w:basedOn w:val="1"/>
    <w:autoRedefine/>
    <w:qFormat/>
    <w:uiPriority w:val="0"/>
    <w:pPr>
      <w:spacing w:line="400" w:lineRule="exact"/>
      <w:ind w:firstLine="0" w:firstLineChars="0"/>
      <w:jc w:val="center"/>
    </w:pPr>
    <w:rPr>
      <w:rFonts w:hint="eastAsia" w:ascii="Times New Roman" w:hAnsi="Times New Roman" w:eastAsia="仿宋" w:cs="仿宋"/>
      <w:kern w:val="2"/>
      <w:sz w:val="28"/>
      <w:szCs w:val="30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2024-04-18T07:57:00Z</dcterms:created>
  <dc:creator>安静の鱼 巛~</dc:creator>
  <cp:lastModifiedBy>安静の鱼 巛~</cp:lastModifiedBy>
  <dcterms:modified xsi:type="dcterms:W3CDTF">2024-04-18T08:40:05Z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4807F21A4907414B93F99945B8C44C10_11</vt:lpwstr>
  </property>
</Properties>
</file>