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广东省门窗协会公平竞争机制</w:t>
      </w:r>
    </w:p>
    <w:p>
      <w:pPr>
        <w:rPr>
          <w:rFonts w:hint="eastAsia"/>
        </w:rPr>
      </w:pP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一、引言</w:t>
      </w: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为了促进广东省门窗行业的健康有序发展，维护会员之间的公平竞争，特制定</w:t>
      </w:r>
      <w:r>
        <w:rPr>
          <w:rFonts w:hint="eastAsia"/>
          <w:sz w:val="32"/>
          <w:szCs w:val="32"/>
          <w:lang w:eastAsia="zh-CN"/>
        </w:rPr>
        <w:t>本协会</w:t>
      </w:r>
      <w:r>
        <w:rPr>
          <w:rFonts w:hint="eastAsia"/>
          <w:sz w:val="32"/>
          <w:szCs w:val="32"/>
        </w:rPr>
        <w:t>公平竞争机制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旨在规范会员的市场行为，防止不正当竞争行为的发生，保障会员的合法权益，促进行业的可持续发展。</w:t>
      </w:r>
      <w:bookmarkStart w:id="0" w:name="_GoBack"/>
      <w:bookmarkEnd w:id="0"/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二、公平竞争原则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会员应遵守国家法律法规和行业规范，不得从事任何违法违规的市场行为。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会员应尊重其他会员的合法权益，不得采取恶意压价、虚假宣传等不正当竞争手段。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会员应积极参与市场竞争，通过提高产品质量、优化服务等方式提升竞争力，而非依赖不正当手段获取市场份额。</w:t>
      </w: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三、公平竞争行为规范</w:t>
      </w:r>
    </w:p>
    <w:p>
      <w:pPr>
        <w:numPr>
          <w:ilvl w:val="0"/>
          <w:numId w:val="2"/>
        </w:num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价格竞争：会员应合理定价，不得恶意压价扰乱市场秩序。禁止以低于成本的价格销售产品，以排挤竞争对手。</w:t>
      </w:r>
    </w:p>
    <w:p>
      <w:pPr>
        <w:numPr>
          <w:ilvl w:val="0"/>
          <w:numId w:val="2"/>
        </w:num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广告宣传：会员的广告宣传应真实、准确、完整，不得夸大其词或进行虚假宣传。禁止捏造、散布虚假信息，损害其他会员或消费者的权益。</w:t>
      </w:r>
    </w:p>
    <w:p>
      <w:pPr>
        <w:numPr>
          <w:ilvl w:val="0"/>
          <w:numId w:val="2"/>
        </w:num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商业秘密：会员应尊重其他会员的商业秘密，不得擅自获取、使用或泄露其他会员的商业秘密。</w:t>
      </w:r>
    </w:p>
    <w:p>
      <w:pPr>
        <w:numPr>
          <w:ilvl w:val="0"/>
          <w:numId w:val="2"/>
        </w:num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招投标活动：在招投标活动中，会员应遵守公开、公平、公正的原则，不得采取串通投标、行贿等不正当手段获取中标资格。</w:t>
      </w: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四、公平竞争监督与处罚</w:t>
      </w:r>
    </w:p>
    <w:p>
      <w:pPr>
        <w:numPr>
          <w:ilvl w:val="0"/>
          <w:numId w:val="3"/>
        </w:num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设立自律委员会，</w:t>
      </w:r>
      <w:r>
        <w:rPr>
          <w:rFonts w:hint="eastAsia"/>
          <w:sz w:val="32"/>
          <w:szCs w:val="32"/>
        </w:rPr>
        <w:t>负责对会员的市场行为进行监督。定期或不定期地对会员的市场行为进行检查，发现问题及时处理。</w:t>
      </w:r>
    </w:p>
    <w:p>
      <w:pPr>
        <w:numPr>
          <w:ilvl w:val="0"/>
          <w:numId w:val="3"/>
        </w:numPr>
        <w:bidi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对于违反公平竞争机制的会员，协会将视情节轻重给予相应的处罚。处罚措施包括警告、通报批评、罚款、暂停会员资格等。对于严重违反规定的会员，协会将取消其会员资格，并依法追究其法律责任。</w:t>
      </w:r>
    </w:p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五、附则</w:t>
      </w:r>
    </w:p>
    <w:p>
      <w:pPr>
        <w:numPr>
          <w:ilvl w:val="0"/>
          <w:numId w:val="4"/>
        </w:numPr>
        <w:ind w:left="0"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本机制由广东省门窗协会</w:t>
      </w:r>
      <w:r>
        <w:rPr>
          <w:rFonts w:hint="eastAsia"/>
          <w:sz w:val="32"/>
          <w:szCs w:val="32"/>
          <w:lang w:eastAsia="zh-CN"/>
        </w:rPr>
        <w:t>第二届第六次理事会审议通过后正式生效，由</w:t>
      </w:r>
      <w:r>
        <w:rPr>
          <w:rFonts w:hint="eastAsia"/>
          <w:sz w:val="32"/>
          <w:szCs w:val="32"/>
        </w:rPr>
        <w:t>理事会负责解释、修订和执行。</w:t>
      </w:r>
    </w:p>
    <w:p>
      <w:pPr>
        <w:numPr>
          <w:ilvl w:val="0"/>
          <w:numId w:val="4"/>
        </w:numPr>
        <w:ind w:left="0" w:leftChars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全体</w:t>
      </w:r>
      <w:r>
        <w:rPr>
          <w:rFonts w:hint="eastAsia"/>
          <w:sz w:val="32"/>
          <w:szCs w:val="32"/>
        </w:rPr>
        <w:t>会员应自觉遵守本机制，如有任何疑问或建议，可及时</w:t>
      </w:r>
      <w:r>
        <w:rPr>
          <w:rFonts w:hint="eastAsia"/>
          <w:sz w:val="32"/>
          <w:szCs w:val="32"/>
          <w:lang w:eastAsia="zh-CN"/>
        </w:rPr>
        <w:t>秘书处</w:t>
      </w:r>
      <w:r>
        <w:rPr>
          <w:rFonts w:hint="eastAsia"/>
          <w:sz w:val="32"/>
          <w:szCs w:val="32"/>
        </w:rPr>
        <w:t>反映。</w:t>
      </w:r>
    </w:p>
    <w:sectPr>
      <w:footerReference r:id="rId5" w:type="default"/>
      <w:pgSz w:w="11906" w:h="16838"/>
      <w:pgMar w:top="1701" w:right="1417" w:bottom="1417" w:left="1417" w:header="851" w:footer="992" w:gutter="0"/>
      <w:pgNumType w:fmt="decimal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  <w:embedRegular r:id="rId1" w:fontKey="{7482F115-4FD9-4171-BA05-400D405BE8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F3E8E56-A703-45B5-A625-DA8AFE2CA5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A2D7198-2589-4475-ACBF-0551FC2F48A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738EB"/>
    <w:multiLevelType w:val="singleLevel"/>
    <w:tmpl w:val="BEE738E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7C6347C"/>
    <w:multiLevelType w:val="singleLevel"/>
    <w:tmpl w:val="C7C634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78BAABF"/>
    <w:multiLevelType w:val="singleLevel"/>
    <w:tmpl w:val="378BAAB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6E4BCB70"/>
    <w:multiLevelType w:val="singleLevel"/>
    <w:tmpl w:val="6E4BCB7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2E4MjViOTk4ZGFmOTI3NzlhNGZmYjAzNWRhYWQifQ=="/>
  </w:docVars>
  <w:rsids>
    <w:rsidRoot w:val="66FB0CC0"/>
    <w:rsid w:val="086530B3"/>
    <w:rsid w:val="0CA47F45"/>
    <w:rsid w:val="0E5D1046"/>
    <w:rsid w:val="256C5C14"/>
    <w:rsid w:val="302F7B0B"/>
    <w:rsid w:val="47993F84"/>
    <w:rsid w:val="50F62D7C"/>
    <w:rsid w:val="530F07D3"/>
    <w:rsid w:val="59CA0A1F"/>
    <w:rsid w:val="66FB0CC0"/>
    <w:rsid w:val="68830F17"/>
    <w:rsid w:val="771124A3"/>
    <w:rsid w:val="7DDC0345"/>
    <w:rsid w:val="7F87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/>
      <w:suppressLineNumbers w:val="0"/>
      <w:spacing w:line="360" w:lineRule="auto"/>
      <w:ind w:firstLine="620" w:firstLineChars="200"/>
      <w:jc w:val="left"/>
    </w:pPr>
    <w:rPr>
      <w:rFonts w:ascii="仿宋_GB2312" w:hAnsi="仿宋_GB2312" w:eastAsia="仿宋_GB2312" w:cs="仿宋_GB2312"/>
      <w:color w:val="000000"/>
      <w:kern w:val="0"/>
      <w:sz w:val="30"/>
      <w:szCs w:val="31"/>
      <w:lang w:val="en-US" w:eastAsia="zh-CN" w:bidi="ar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964" w:firstLineChars="200"/>
      <w:outlineLvl w:val="1"/>
    </w:pPr>
    <w:rPr>
      <w:rFonts w:ascii="Times New Roman" w:hAnsi="Times New Roman" w:eastAsia="黑体" w:cs="黑体"/>
      <w:b/>
      <w:bCs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仿宋" w:cs="仿宋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表格"/>
    <w:basedOn w:val="1"/>
    <w:autoRedefine/>
    <w:qFormat/>
    <w:uiPriority w:val="0"/>
    <w:pPr>
      <w:spacing w:line="400" w:lineRule="exact"/>
      <w:ind w:firstLine="0" w:firstLineChars="0"/>
      <w:jc w:val="center"/>
    </w:pPr>
    <w:rPr>
      <w:rFonts w:hint="eastAsia" w:ascii="Times New Roman" w:hAnsi="Times New Roman" w:eastAsia="仿宋" w:cs="仿宋"/>
      <w:kern w:val="2"/>
      <w:sz w:val="28"/>
      <w:szCs w:val="3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2024-04-17T10:13:00Z</dcterms:created>
  <dc:creator>安静の鱼 巛~</dc:creator>
  <cp:lastModifiedBy>安静の鱼 巛~</cp:lastModifiedBy>
  <dcterms:modified xsi:type="dcterms:W3CDTF">2024-04-19T08:27:57Z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32CC661F7292421FA79FDB9D8ADDC4A6_11</vt:lpwstr>
  </property>
</Properties>
</file>